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 w:hAnsi="仿宋" w:eastAsia="仿宋" w:cs="仿宋"/>
          <w:b/>
          <w:sz w:val="32"/>
          <w:szCs w:val="32"/>
        </w:rPr>
      </w:pPr>
      <w:r>
        <w:rPr>
          <w:rFonts w:hint="eastAsia" w:ascii="仿宋" w:hAnsi="仿宋" w:eastAsia="仿宋" w:cs="仿宋"/>
          <w:b/>
          <w:sz w:val="32"/>
          <w:szCs w:val="32"/>
        </w:rPr>
        <w:t>辽宁大学哲学院</w:t>
      </w:r>
    </w:p>
    <w:p>
      <w:pPr>
        <w:spacing w:line="540" w:lineRule="exact"/>
        <w:jc w:val="center"/>
        <w:rPr>
          <w:rFonts w:ascii="仿宋" w:hAnsi="仿宋" w:eastAsia="仿宋" w:cs="仿宋"/>
          <w:b/>
          <w:sz w:val="32"/>
          <w:szCs w:val="32"/>
        </w:rPr>
      </w:pPr>
      <w:r>
        <w:rPr>
          <w:rFonts w:ascii="仿宋" w:hAnsi="仿宋" w:eastAsia="仿宋" w:cs="仿宋"/>
          <w:b/>
          <w:sz w:val="32"/>
          <w:szCs w:val="32"/>
        </w:rPr>
        <w:t>202</w:t>
      </w:r>
      <w:r>
        <w:rPr>
          <w:rFonts w:hint="eastAsia" w:ascii="仿宋" w:hAnsi="仿宋" w:eastAsia="仿宋" w:cs="仿宋"/>
          <w:b/>
          <w:sz w:val="32"/>
          <w:szCs w:val="32"/>
        </w:rPr>
        <w:t>4年硕士研究生招生调剂工作实施细则</w:t>
      </w:r>
    </w:p>
    <w:p>
      <w:pPr>
        <w:spacing w:line="540" w:lineRule="exact"/>
        <w:rPr>
          <w:rFonts w:ascii="仿宋" w:hAnsi="仿宋" w:eastAsia="仿宋" w:cs="仿宋"/>
          <w:sz w:val="28"/>
        </w:rPr>
      </w:pPr>
    </w:p>
    <w:p>
      <w:pPr>
        <w:spacing w:line="540" w:lineRule="exact"/>
        <w:rPr>
          <w:rFonts w:ascii="仿宋" w:hAnsi="仿宋" w:eastAsia="仿宋" w:cs="仿宋"/>
          <w:sz w:val="28"/>
          <w:szCs w:val="28"/>
        </w:rPr>
      </w:pPr>
      <w:r>
        <w:rPr>
          <w:rFonts w:ascii="仿宋" w:hAnsi="仿宋" w:eastAsia="仿宋" w:cs="仿宋"/>
          <w:sz w:val="28"/>
        </w:rPr>
        <w:tab/>
      </w:r>
      <w:r>
        <w:rPr>
          <w:rFonts w:hint="eastAsia" w:ascii="仿宋" w:hAnsi="仿宋" w:eastAsia="仿宋" w:cs="仿宋"/>
          <w:sz w:val="28"/>
          <w:szCs w:val="28"/>
        </w:rPr>
        <w:t>为切实做好硕士研究生调剂工作，哲学院研究生招生工作领导小组在学校研究生招生工作领导小组指导下，参照《辽宁大学</w:t>
      </w:r>
      <w:r>
        <w:rPr>
          <w:rFonts w:ascii="仿宋" w:hAnsi="仿宋" w:eastAsia="仿宋" w:cs="仿宋"/>
          <w:sz w:val="28"/>
          <w:szCs w:val="28"/>
        </w:rPr>
        <w:t>202</w:t>
      </w:r>
      <w:r>
        <w:rPr>
          <w:rFonts w:hint="eastAsia" w:ascii="仿宋" w:hAnsi="仿宋" w:eastAsia="仿宋" w:cs="仿宋"/>
          <w:sz w:val="28"/>
          <w:szCs w:val="28"/>
        </w:rPr>
        <w:t>4年硕士研究生招生调剂工作办法》，制定本细则并组织实施。</w:t>
      </w:r>
    </w:p>
    <w:p>
      <w:pPr>
        <w:numPr>
          <w:ilvl w:val="0"/>
          <w:numId w:val="1"/>
        </w:numPr>
        <w:spacing w:line="540" w:lineRule="exact"/>
        <w:ind w:firstLine="562"/>
        <w:rPr>
          <w:rFonts w:ascii="黑体" w:hAnsi="黑体" w:eastAsia="黑体" w:cs="仿宋"/>
          <w:sz w:val="28"/>
          <w:szCs w:val="28"/>
        </w:rPr>
      </w:pPr>
      <w:r>
        <w:rPr>
          <w:rFonts w:hint="eastAsia" w:ascii="黑体" w:hAnsi="黑体" w:eastAsia="黑体" w:cs="仿宋"/>
          <w:sz w:val="28"/>
          <w:szCs w:val="28"/>
        </w:rPr>
        <w:t>接收调剂考生的基本条件</w:t>
      </w:r>
    </w:p>
    <w:p>
      <w:pPr>
        <w:spacing w:line="460" w:lineRule="exact"/>
        <w:ind w:firstLine="645"/>
        <w:rPr>
          <w:rFonts w:ascii="仿宋" w:hAnsi="仿宋" w:eastAsia="仿宋"/>
          <w:sz w:val="28"/>
          <w:szCs w:val="28"/>
        </w:rPr>
      </w:pPr>
      <w:r>
        <w:rPr>
          <w:rFonts w:hint="eastAsia" w:ascii="仿宋" w:hAnsi="仿宋" w:eastAsia="仿宋"/>
          <w:sz w:val="28"/>
          <w:szCs w:val="28"/>
        </w:rPr>
        <w:t>1.符合调入专业的报考条件。</w:t>
      </w:r>
    </w:p>
    <w:p>
      <w:pPr>
        <w:spacing w:line="460" w:lineRule="exact"/>
        <w:ind w:firstLine="645"/>
        <w:rPr>
          <w:rFonts w:ascii="仿宋" w:hAnsi="仿宋" w:eastAsia="仿宋"/>
          <w:sz w:val="28"/>
          <w:szCs w:val="28"/>
        </w:rPr>
      </w:pPr>
      <w:r>
        <w:rPr>
          <w:rFonts w:hint="eastAsia" w:ascii="仿宋" w:hAnsi="仿宋" w:eastAsia="仿宋"/>
          <w:sz w:val="28"/>
          <w:szCs w:val="28"/>
        </w:rPr>
        <w:t>2.初试成绩符合第一志愿报考专业在调入地区（一区）的全国初试成绩基本要求。</w:t>
      </w:r>
    </w:p>
    <w:p>
      <w:pPr>
        <w:spacing w:line="460" w:lineRule="exact"/>
        <w:ind w:firstLine="645"/>
        <w:rPr>
          <w:rFonts w:ascii="仿宋" w:hAnsi="仿宋" w:eastAsia="仿宋"/>
          <w:sz w:val="28"/>
          <w:szCs w:val="28"/>
        </w:rPr>
      </w:pPr>
      <w:r>
        <w:rPr>
          <w:rFonts w:hint="eastAsia" w:ascii="仿宋" w:hAnsi="仿宋" w:eastAsia="仿宋"/>
          <w:sz w:val="28"/>
          <w:szCs w:val="28"/>
        </w:rPr>
        <w:t>3.调入专业与第一志愿报考专业相同或相近,应在同一学科门类范围内。学术学位专业仅接收第一志愿报考相同或相近学术学位专业考生的调剂申请。</w:t>
      </w:r>
    </w:p>
    <w:p>
      <w:pPr>
        <w:spacing w:line="460" w:lineRule="exact"/>
        <w:ind w:firstLine="645"/>
        <w:rPr>
          <w:rFonts w:ascii="仿宋" w:hAnsi="仿宋" w:eastAsia="仿宋"/>
          <w:sz w:val="28"/>
          <w:szCs w:val="28"/>
        </w:rPr>
      </w:pPr>
      <w:r>
        <w:rPr>
          <w:rFonts w:hint="eastAsia" w:ascii="仿宋" w:hAnsi="仿宋" w:eastAsia="仿宋"/>
          <w:sz w:val="28"/>
          <w:szCs w:val="28"/>
        </w:rPr>
        <w:t>4.初试科目与调入专业初试科目相同或相近，其中初试全国统一命题科目应与调入专业全国统一命题科目相同。</w:t>
      </w:r>
      <w:bookmarkStart w:id="0" w:name="_GoBack"/>
      <w:bookmarkEnd w:id="0"/>
      <w:r>
        <w:rPr>
          <w:rFonts w:hint="eastAsia" w:ascii="仿宋" w:hAnsi="仿宋" w:eastAsia="仿宋"/>
          <w:sz w:val="28"/>
          <w:szCs w:val="28"/>
        </w:rPr>
        <w:t>对于外国语科目，不接收招生专业目录中未列出语种考生的调剂。</w:t>
      </w:r>
    </w:p>
    <w:p>
      <w:pPr>
        <w:spacing w:line="460" w:lineRule="exact"/>
        <w:ind w:firstLine="645"/>
        <w:rPr>
          <w:rFonts w:ascii="仿宋" w:hAnsi="仿宋" w:eastAsia="仿宋"/>
          <w:sz w:val="28"/>
          <w:szCs w:val="28"/>
        </w:rPr>
      </w:pPr>
      <w:r>
        <w:rPr>
          <w:rFonts w:hint="eastAsia" w:ascii="仿宋" w:hAnsi="仿宋" w:eastAsia="仿宋"/>
          <w:sz w:val="28"/>
          <w:szCs w:val="28"/>
        </w:rPr>
        <w:t>5.调入专业初试科目数量应与考生第一志愿报考专业初试科目数量一致。</w:t>
      </w:r>
    </w:p>
    <w:p>
      <w:pPr>
        <w:spacing w:line="460" w:lineRule="exact"/>
        <w:ind w:firstLine="645"/>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.报考“退役大学生士兵”专项计划的考生，申请调剂到普通计划录取，其初试成绩须达到调入地区相关专业所在学科门类（专业学位类别）的全国初试成绩基本要求。</w:t>
      </w:r>
    </w:p>
    <w:p>
      <w:pPr>
        <w:spacing w:line="460" w:lineRule="exact"/>
        <w:ind w:firstLine="645"/>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.调剂考生还须符合学校各培养单位制定的具体接收调剂考生条件。</w:t>
      </w:r>
    </w:p>
    <w:p>
      <w:pPr>
        <w:spacing w:line="460" w:lineRule="exact"/>
        <w:ind w:firstLine="560" w:firstLineChars="200"/>
        <w:rPr>
          <w:rFonts w:ascii="仿宋" w:hAnsi="仿宋" w:eastAsia="仿宋"/>
          <w:sz w:val="28"/>
          <w:szCs w:val="28"/>
        </w:rPr>
      </w:pPr>
      <w:r>
        <w:rPr>
          <w:rFonts w:hint="eastAsia" w:ascii="黑体" w:hAnsi="黑体" w:eastAsia="黑体"/>
          <w:sz w:val="28"/>
          <w:szCs w:val="28"/>
        </w:rPr>
        <w:t>二、接收考生调剂申请的具体学术要求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1.中国哲学（代码[010102]）、外国哲学（代码[010103]）、伦理学（代码[010105]）仅接收一志愿报考哲学一级学科（代码[0101]）下各专业考生的调剂申请。</w:t>
      </w:r>
    </w:p>
    <w:p>
      <w:pPr>
        <w:spacing w:line="540" w:lineRule="exact"/>
        <w:ind w:firstLine="560" w:firstLineChars="200"/>
        <w:rPr>
          <w:rFonts w:ascii="黑体" w:hAnsi="黑体" w:eastAsia="黑体" w:cs="仿宋"/>
          <w:sz w:val="28"/>
          <w:szCs w:val="28"/>
        </w:rPr>
      </w:pPr>
      <w:r>
        <w:rPr>
          <w:rFonts w:hint="eastAsia" w:ascii="仿宋" w:hAnsi="仿宋" w:eastAsia="仿宋"/>
          <w:sz w:val="28"/>
          <w:szCs w:val="28"/>
        </w:rPr>
        <w:t>2.中国哲学（代码[010102]）、外国哲学（代码[010103]）、伦理学（代码[010105]）仅接收前置学历为哲学（代码[0101]）考生的调剂申请。</w:t>
      </w:r>
    </w:p>
    <w:p>
      <w:pPr>
        <w:spacing w:line="540" w:lineRule="exact"/>
        <w:ind w:firstLine="560" w:firstLineChars="200"/>
        <w:rPr>
          <w:rFonts w:ascii="黑体" w:hAnsi="黑体" w:eastAsia="黑体" w:cs="仿宋"/>
          <w:sz w:val="28"/>
          <w:szCs w:val="28"/>
        </w:rPr>
      </w:pPr>
      <w:r>
        <w:rPr>
          <w:rFonts w:hint="eastAsia" w:ascii="黑体" w:hAnsi="黑体" w:eastAsia="黑体" w:cs="仿宋"/>
          <w:sz w:val="28"/>
          <w:szCs w:val="28"/>
        </w:rPr>
        <w:t>三、遴选原则</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坚持“按需招生、全面衡量、择优录取”的原则，严格按照《</w:t>
      </w:r>
      <w:r>
        <w:rPr>
          <w:rFonts w:ascii="仿宋" w:hAnsi="仿宋" w:eastAsia="仿宋"/>
          <w:sz w:val="28"/>
          <w:szCs w:val="28"/>
        </w:rPr>
        <w:t>202</w:t>
      </w:r>
      <w:r>
        <w:rPr>
          <w:rFonts w:hint="eastAsia" w:ascii="仿宋" w:hAnsi="仿宋" w:eastAsia="仿宋"/>
          <w:sz w:val="28"/>
          <w:szCs w:val="28"/>
        </w:rPr>
        <w:t>4年全国硕士研究生招生工作管理规定》确定的考生调剂基本条件和要求，开展调剂生源遴选工作。</w:t>
      </w:r>
      <w:r>
        <w:rPr>
          <w:rFonts w:hint="eastAsia" w:ascii="仿宋" w:hAnsi="仿宋" w:eastAsia="仿宋" w:cs="仿宋"/>
          <w:sz w:val="28"/>
          <w:szCs w:val="28"/>
        </w:rPr>
        <w:t>对申请同一招生单位同一专业、初试科目完全相同的调剂考生，按考生初试成绩择优遴选进入复试的考生。</w:t>
      </w:r>
    </w:p>
    <w:p>
      <w:pPr>
        <w:spacing w:line="540" w:lineRule="exact"/>
        <w:ind w:firstLine="562"/>
        <w:rPr>
          <w:rFonts w:ascii="黑体" w:hAnsi="黑体" w:eastAsia="黑体" w:cs="仿宋"/>
          <w:sz w:val="28"/>
          <w:szCs w:val="28"/>
        </w:rPr>
      </w:pPr>
      <w:r>
        <w:rPr>
          <w:rFonts w:hint="eastAsia" w:ascii="黑体" w:hAnsi="黑体" w:eastAsia="黑体" w:cs="仿宋"/>
          <w:sz w:val="28"/>
          <w:szCs w:val="28"/>
        </w:rPr>
        <w:t>四、接收调剂专业及时间</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接收调剂专业：中国哲学</w:t>
      </w:r>
      <w:r>
        <w:rPr>
          <w:rFonts w:ascii="仿宋" w:hAnsi="仿宋" w:eastAsia="仿宋" w:cs="仿宋"/>
          <w:sz w:val="28"/>
          <w:szCs w:val="28"/>
        </w:rPr>
        <w:t>[</w:t>
      </w:r>
      <w:r>
        <w:rPr>
          <w:rFonts w:hint="eastAsia" w:ascii="仿宋" w:hAnsi="仿宋" w:eastAsia="仿宋" w:cs="仿宋"/>
          <w:sz w:val="28"/>
          <w:szCs w:val="28"/>
        </w:rPr>
        <w:t>010102</w:t>
      </w:r>
      <w:r>
        <w:rPr>
          <w:rFonts w:ascii="仿宋" w:hAnsi="仿宋" w:eastAsia="仿宋" w:cs="仿宋"/>
          <w:sz w:val="28"/>
          <w:szCs w:val="28"/>
        </w:rPr>
        <w:t>]</w:t>
      </w:r>
      <w:r>
        <w:rPr>
          <w:rFonts w:hint="eastAsia" w:ascii="仿宋" w:hAnsi="仿宋" w:eastAsia="仿宋" w:cs="仿宋"/>
          <w:sz w:val="28"/>
          <w:szCs w:val="28"/>
        </w:rPr>
        <w:t>、外国哲学</w:t>
      </w:r>
      <w:r>
        <w:rPr>
          <w:rFonts w:ascii="仿宋" w:hAnsi="仿宋" w:eastAsia="仿宋" w:cs="仿宋"/>
          <w:sz w:val="28"/>
          <w:szCs w:val="28"/>
        </w:rPr>
        <w:t>[</w:t>
      </w:r>
      <w:r>
        <w:rPr>
          <w:rFonts w:hint="eastAsia" w:ascii="仿宋" w:hAnsi="仿宋" w:eastAsia="仿宋" w:cs="仿宋"/>
          <w:sz w:val="28"/>
          <w:szCs w:val="28"/>
        </w:rPr>
        <w:t>010103</w:t>
      </w:r>
      <w:r>
        <w:rPr>
          <w:rFonts w:ascii="仿宋" w:hAnsi="仿宋" w:eastAsia="仿宋" w:cs="仿宋"/>
          <w:sz w:val="28"/>
          <w:szCs w:val="28"/>
        </w:rPr>
        <w:t>]</w:t>
      </w:r>
      <w:r>
        <w:rPr>
          <w:rFonts w:hint="eastAsia" w:ascii="仿宋" w:hAnsi="仿宋" w:eastAsia="仿宋" w:cs="仿宋"/>
          <w:sz w:val="28"/>
          <w:szCs w:val="28"/>
        </w:rPr>
        <w:t>、伦理学</w:t>
      </w:r>
      <w:r>
        <w:rPr>
          <w:rFonts w:ascii="仿宋" w:hAnsi="仿宋" w:eastAsia="仿宋" w:cs="仿宋"/>
          <w:sz w:val="28"/>
          <w:szCs w:val="28"/>
        </w:rPr>
        <w:t>[</w:t>
      </w:r>
      <w:r>
        <w:rPr>
          <w:rFonts w:hint="eastAsia" w:ascii="仿宋" w:hAnsi="仿宋" w:eastAsia="仿宋" w:cs="仿宋"/>
          <w:sz w:val="28"/>
          <w:szCs w:val="28"/>
        </w:rPr>
        <w:t>010105</w:t>
      </w:r>
      <w:r>
        <w:rPr>
          <w:rFonts w:ascii="仿宋" w:hAnsi="仿宋" w:eastAsia="仿宋" w:cs="仿宋"/>
          <w:sz w:val="28"/>
          <w:szCs w:val="28"/>
        </w:rPr>
        <w:t>]</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我单位定于</w:t>
      </w:r>
      <w:r>
        <w:rPr>
          <w:rFonts w:ascii="仿宋" w:hAnsi="仿宋" w:eastAsia="仿宋" w:cs="仿宋"/>
          <w:sz w:val="28"/>
          <w:szCs w:val="28"/>
        </w:rPr>
        <w:t>202</w:t>
      </w:r>
      <w:r>
        <w:rPr>
          <w:rFonts w:hint="eastAsia" w:ascii="仿宋" w:hAnsi="仿宋" w:eastAsia="仿宋" w:cs="仿宋"/>
          <w:sz w:val="28"/>
          <w:szCs w:val="28"/>
        </w:rPr>
        <w:t>4年4月8日00</w:t>
      </w:r>
      <w:r>
        <w:rPr>
          <w:rFonts w:ascii="仿宋" w:hAnsi="仿宋" w:eastAsia="仿宋" w:cs="仿宋"/>
          <w:sz w:val="28"/>
          <w:szCs w:val="28"/>
        </w:rPr>
        <w:t>:00</w:t>
      </w:r>
      <w:r>
        <w:rPr>
          <w:rFonts w:hint="eastAsia" w:ascii="仿宋" w:hAnsi="仿宋" w:eastAsia="仿宋" w:cs="仿宋"/>
          <w:sz w:val="28"/>
          <w:szCs w:val="28"/>
        </w:rPr>
        <w:t>至12</w:t>
      </w:r>
      <w:r>
        <w:rPr>
          <w:rFonts w:ascii="仿宋" w:hAnsi="仿宋" w:eastAsia="仿宋" w:cs="仿宋"/>
          <w:sz w:val="28"/>
          <w:szCs w:val="28"/>
        </w:rPr>
        <w:t>:00</w:t>
      </w:r>
      <w:r>
        <w:rPr>
          <w:rFonts w:hint="eastAsia" w:ascii="仿宋" w:hAnsi="仿宋" w:eastAsia="仿宋" w:cs="仿宋"/>
          <w:sz w:val="28"/>
          <w:szCs w:val="28"/>
        </w:rPr>
        <w:t>之间在“全国硕士生招生复试调剂服务系统”上首次发布调剂信息。</w:t>
      </w:r>
      <w:r>
        <w:rPr>
          <w:rFonts w:ascii="仿宋" w:hAnsi="仿宋" w:eastAsia="仿宋" w:cs="仿宋"/>
          <w:sz w:val="28"/>
          <w:szCs w:val="28"/>
        </w:rPr>
        <w:t xml:space="preserve"> </w:t>
      </w:r>
    </w:p>
    <w:p>
      <w:pPr>
        <w:spacing w:line="540" w:lineRule="exact"/>
        <w:ind w:firstLine="562"/>
        <w:rPr>
          <w:rFonts w:ascii="黑体" w:hAnsi="黑体" w:eastAsia="黑体" w:cs="仿宋"/>
          <w:sz w:val="28"/>
          <w:szCs w:val="28"/>
        </w:rPr>
      </w:pPr>
      <w:r>
        <w:rPr>
          <w:rFonts w:hint="eastAsia" w:ascii="黑体" w:hAnsi="黑体" w:eastAsia="黑体" w:cs="仿宋"/>
          <w:sz w:val="28"/>
          <w:szCs w:val="28"/>
        </w:rPr>
        <w:t>五、调剂工作程序及要求</w:t>
      </w:r>
    </w:p>
    <w:p>
      <w:pPr>
        <w:spacing w:line="540" w:lineRule="exact"/>
        <w:ind w:firstLine="562"/>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本单位</w:t>
      </w:r>
      <w:r>
        <w:rPr>
          <w:rFonts w:hint="eastAsia" w:ascii="仿宋" w:hAnsi="仿宋" w:eastAsia="仿宋"/>
          <w:sz w:val="28"/>
          <w:szCs w:val="28"/>
        </w:rPr>
        <w:t>接收所有调剂考生均通过</w:t>
      </w:r>
      <w:r>
        <w:rPr>
          <w:rFonts w:hint="eastAsia" w:ascii="仿宋" w:hAnsi="仿宋" w:eastAsia="仿宋" w:cs="仿宋"/>
          <w:sz w:val="28"/>
          <w:szCs w:val="28"/>
        </w:rPr>
        <w:t>“全国硕士生招生复试调剂服务系统”</w:t>
      </w:r>
      <w:r>
        <w:rPr>
          <w:rFonts w:hint="eastAsia" w:ascii="仿宋" w:hAnsi="仿宋" w:eastAsia="仿宋"/>
          <w:sz w:val="28"/>
          <w:szCs w:val="28"/>
        </w:rPr>
        <w:t>进行。接到复试通知的考生须在指定时间内回复确认，并按时参加复试。</w:t>
      </w:r>
    </w:p>
    <w:p>
      <w:pPr>
        <w:spacing w:line="540" w:lineRule="exact"/>
        <w:ind w:firstLine="56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调剂考生应在复试考核开始前完成资格审查的材料提交与心理测试。调剂考生复试内容要求与一志愿考生复试内容要求一致。详情见《辽宁大学2024年硕士研究生复试录取工作办法》和《辽宁大学哲学院2024年硕士研究生复试工作实施细则》。</w:t>
      </w:r>
    </w:p>
    <w:p>
      <w:pPr>
        <w:spacing w:line="540" w:lineRule="exact"/>
        <w:ind w:firstLine="562"/>
        <w:rPr>
          <w:rFonts w:ascii="仿宋" w:hAnsi="仿宋" w:eastAsia="仿宋"/>
          <w:sz w:val="28"/>
          <w:szCs w:val="28"/>
        </w:rPr>
      </w:pPr>
      <w:r>
        <w:rPr>
          <w:rFonts w:hint="eastAsia" w:ascii="仿宋" w:hAnsi="仿宋" w:eastAsia="仿宋"/>
          <w:sz w:val="28"/>
          <w:szCs w:val="28"/>
        </w:rPr>
        <w:t>3.在调剂考生充足的情况下，调剂考生采取的复试方式为差额复试，差额复试比例一般为120%。</w:t>
      </w:r>
    </w:p>
    <w:p>
      <w:pPr>
        <w:spacing w:line="540" w:lineRule="exact"/>
        <w:ind w:firstLine="562"/>
        <w:rPr>
          <w:rFonts w:ascii="黑体" w:hAnsi="黑体" w:eastAsia="黑体" w:cs="仿宋"/>
          <w:sz w:val="28"/>
          <w:szCs w:val="28"/>
        </w:rPr>
      </w:pPr>
      <w:r>
        <w:rPr>
          <w:rFonts w:hint="eastAsia" w:ascii="黑体" w:hAnsi="黑体" w:eastAsia="黑体" w:cs="仿宋"/>
          <w:sz w:val="28"/>
          <w:szCs w:val="28"/>
        </w:rPr>
        <w:t>六、调剂录取工作</w:t>
      </w:r>
    </w:p>
    <w:p>
      <w:pPr>
        <w:spacing w:line="540" w:lineRule="exact"/>
        <w:ind w:firstLine="562"/>
        <w:rPr>
          <w:rFonts w:ascii="仿宋" w:hAnsi="仿宋" w:eastAsia="仿宋" w:cs="仿宋"/>
          <w:sz w:val="28"/>
          <w:szCs w:val="28"/>
        </w:rPr>
      </w:pPr>
      <w:r>
        <w:rPr>
          <w:rFonts w:hint="eastAsia" w:ascii="仿宋" w:hAnsi="仿宋" w:eastAsia="仿宋" w:cs="仿宋"/>
          <w:sz w:val="28"/>
          <w:szCs w:val="28"/>
        </w:rPr>
        <w:t>调剂考生的录取工作按照《</w:t>
      </w:r>
      <w:r>
        <w:rPr>
          <w:rFonts w:hint="eastAsia" w:ascii="仿宋" w:hAnsi="仿宋" w:eastAsia="仿宋"/>
          <w:sz w:val="28"/>
          <w:szCs w:val="28"/>
        </w:rPr>
        <w:t>辽宁大学哲学院2024年硕士研究生复试工作实施细则</w:t>
      </w:r>
      <w:r>
        <w:rPr>
          <w:rFonts w:hint="eastAsia" w:ascii="仿宋" w:hAnsi="仿宋" w:eastAsia="仿宋" w:cs="仿宋"/>
          <w:sz w:val="28"/>
          <w:szCs w:val="28"/>
        </w:rPr>
        <w:t>》执行。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学校研究生招生工作领导小组审核调剂拟录取考生名单后报省级教育招生考试机构审定。</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调剂拟录取名单由研究生院进行公示，公示期为</w:t>
      </w:r>
      <w:r>
        <w:rPr>
          <w:rFonts w:ascii="仿宋" w:hAnsi="仿宋" w:eastAsia="仿宋"/>
          <w:sz w:val="28"/>
          <w:szCs w:val="28"/>
        </w:rPr>
        <w:t>10</w:t>
      </w:r>
      <w:r>
        <w:rPr>
          <w:rFonts w:hint="eastAsia" w:ascii="仿宋" w:hAnsi="仿宋" w:eastAsia="仿宋"/>
          <w:sz w:val="28"/>
          <w:szCs w:val="28"/>
        </w:rPr>
        <w:t>个工作日。</w:t>
      </w:r>
    </w:p>
    <w:p>
      <w:pPr>
        <w:spacing w:line="540" w:lineRule="exact"/>
        <w:ind w:firstLine="562"/>
        <w:rPr>
          <w:rFonts w:ascii="黑体" w:hAnsi="黑体" w:eastAsia="黑体" w:cs="仿宋"/>
          <w:sz w:val="28"/>
          <w:szCs w:val="28"/>
        </w:rPr>
      </w:pPr>
      <w:r>
        <w:rPr>
          <w:rFonts w:hint="eastAsia" w:ascii="黑体" w:hAnsi="黑体" w:eastAsia="黑体" w:cs="仿宋"/>
          <w:sz w:val="28"/>
          <w:szCs w:val="28"/>
        </w:rPr>
        <w:t>七、调剂工作的监督</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哲学院研究生招生工作领导小组对本单位调剂、复试过程和复试结果进行指导与审查，严肃处理违纪违规事件。</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辽宁大学哲学院研究生办公室电话：</w:t>
      </w:r>
      <w:r>
        <w:rPr>
          <w:rFonts w:ascii="仿宋" w:hAnsi="仿宋" w:eastAsia="仿宋" w:cs="仿宋"/>
          <w:sz w:val="28"/>
          <w:szCs w:val="28"/>
        </w:rPr>
        <w:t>024-</w:t>
      </w:r>
      <w:r>
        <w:rPr>
          <w:rFonts w:hint="eastAsia" w:ascii="仿宋" w:hAnsi="仿宋" w:eastAsia="仿宋" w:cs="仿宋"/>
          <w:sz w:val="28"/>
          <w:szCs w:val="28"/>
        </w:rPr>
        <w:t>62202426</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本实施细则由哲学院负责解释，如同国家、辽宁省有关政策规定存在冲突，按国家、辽宁省关政策规定执行。</w:t>
      </w: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ascii="仿宋" w:hAnsi="仿宋" w:eastAsia="仿宋" w:cs="仿宋"/>
          <w:sz w:val="28"/>
          <w:szCs w:val="28"/>
        </w:rPr>
      </w:pPr>
      <w:r>
        <w:rPr>
          <w:rFonts w:ascii="仿宋" w:hAnsi="仿宋" w:eastAsia="仿宋"/>
          <w:sz w:val="28"/>
          <w:szCs w:val="28"/>
        </w:rPr>
        <w:t xml:space="preserve">        </w:t>
      </w:r>
      <w:r>
        <w:rPr>
          <w:rFonts w:hint="eastAsia" w:ascii="仿宋" w:hAnsi="仿宋" w:eastAsia="仿宋" w:cs="仿宋"/>
          <w:sz w:val="28"/>
          <w:szCs w:val="28"/>
        </w:rPr>
        <w:t>辽宁大学哲学院</w:t>
      </w:r>
    </w:p>
    <w:p>
      <w:pPr>
        <w:spacing w:line="540" w:lineRule="exact"/>
        <w:ind w:firstLine="1680" w:firstLineChars="600"/>
        <w:jc w:val="right"/>
        <w:rPr>
          <w:rFonts w:ascii="仿宋" w:hAnsi="仿宋" w:eastAsia="仿宋"/>
          <w:sz w:val="28"/>
          <w:szCs w:val="28"/>
        </w:rPr>
      </w:pPr>
      <w:r>
        <w:rPr>
          <w:rFonts w:ascii="仿宋" w:hAnsi="仿宋" w:eastAsia="仿宋" w:cs="仿宋"/>
          <w:sz w:val="28"/>
          <w:szCs w:val="28"/>
        </w:rPr>
        <w:t xml:space="preserve">         </w:t>
      </w:r>
      <w:r>
        <w:rPr>
          <w:rFonts w:hint="eastAsia" w:ascii="仿宋" w:hAnsi="仿宋" w:eastAsia="仿宋"/>
          <w:sz w:val="28"/>
          <w:szCs w:val="28"/>
        </w:rPr>
        <w:t>二○二四年四月</w:t>
      </w:r>
    </w:p>
    <w:p>
      <w:pPr>
        <w:spacing w:line="540" w:lineRule="exact"/>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7D38E"/>
    <w:multiLevelType w:val="singleLevel"/>
    <w:tmpl w:val="0A47D3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zE3ZDAyNDNhMzkyMWYzYzlkMGIwYWFkZWI5NjYifQ=="/>
    <w:docVar w:name="KSO_WPS_MARK_KEY" w:val="f89ac487-8f3b-486a-846f-0a64a4a1778f"/>
  </w:docVars>
  <w:rsids>
    <w:rsidRoot w:val="005F2420"/>
    <w:rsid w:val="000421DE"/>
    <w:rsid w:val="00050C75"/>
    <w:rsid w:val="00060831"/>
    <w:rsid w:val="00066EAA"/>
    <w:rsid w:val="00091CB6"/>
    <w:rsid w:val="00092AB5"/>
    <w:rsid w:val="000A2D0F"/>
    <w:rsid w:val="000C47F1"/>
    <w:rsid w:val="000F5BB2"/>
    <w:rsid w:val="0013181F"/>
    <w:rsid w:val="001A0224"/>
    <w:rsid w:val="001A27EF"/>
    <w:rsid w:val="001A6D47"/>
    <w:rsid w:val="001B581B"/>
    <w:rsid w:val="001B68DC"/>
    <w:rsid w:val="001C1298"/>
    <w:rsid w:val="00215AF3"/>
    <w:rsid w:val="00215E80"/>
    <w:rsid w:val="00224181"/>
    <w:rsid w:val="002253AF"/>
    <w:rsid w:val="00226740"/>
    <w:rsid w:val="0024779D"/>
    <w:rsid w:val="0027787B"/>
    <w:rsid w:val="002B51BB"/>
    <w:rsid w:val="002E6772"/>
    <w:rsid w:val="002E7020"/>
    <w:rsid w:val="0032384D"/>
    <w:rsid w:val="00350988"/>
    <w:rsid w:val="003869BD"/>
    <w:rsid w:val="003A4BC0"/>
    <w:rsid w:val="003B37E4"/>
    <w:rsid w:val="003C70BD"/>
    <w:rsid w:val="0040465D"/>
    <w:rsid w:val="0040648D"/>
    <w:rsid w:val="00442A76"/>
    <w:rsid w:val="0046676D"/>
    <w:rsid w:val="00471F92"/>
    <w:rsid w:val="00496902"/>
    <w:rsid w:val="004A353F"/>
    <w:rsid w:val="004A7987"/>
    <w:rsid w:val="004B4381"/>
    <w:rsid w:val="004C561E"/>
    <w:rsid w:val="004E78C3"/>
    <w:rsid w:val="004F7012"/>
    <w:rsid w:val="00523815"/>
    <w:rsid w:val="005246DF"/>
    <w:rsid w:val="00546220"/>
    <w:rsid w:val="0056594D"/>
    <w:rsid w:val="00574BF2"/>
    <w:rsid w:val="005911EB"/>
    <w:rsid w:val="005B1733"/>
    <w:rsid w:val="005B6782"/>
    <w:rsid w:val="005C243A"/>
    <w:rsid w:val="005E0A0C"/>
    <w:rsid w:val="005F2420"/>
    <w:rsid w:val="00615222"/>
    <w:rsid w:val="00617A52"/>
    <w:rsid w:val="00631286"/>
    <w:rsid w:val="00634E73"/>
    <w:rsid w:val="006459E1"/>
    <w:rsid w:val="00654949"/>
    <w:rsid w:val="006617B1"/>
    <w:rsid w:val="00666755"/>
    <w:rsid w:val="006D203E"/>
    <w:rsid w:val="006D6A49"/>
    <w:rsid w:val="006E2C57"/>
    <w:rsid w:val="00712847"/>
    <w:rsid w:val="00754659"/>
    <w:rsid w:val="00777C89"/>
    <w:rsid w:val="007F1F03"/>
    <w:rsid w:val="00807F67"/>
    <w:rsid w:val="008445CB"/>
    <w:rsid w:val="00853852"/>
    <w:rsid w:val="00864011"/>
    <w:rsid w:val="0087562C"/>
    <w:rsid w:val="0088719C"/>
    <w:rsid w:val="008879B0"/>
    <w:rsid w:val="00893FD9"/>
    <w:rsid w:val="008A3DB8"/>
    <w:rsid w:val="008A468E"/>
    <w:rsid w:val="008B6FFC"/>
    <w:rsid w:val="008C4C82"/>
    <w:rsid w:val="008D42BA"/>
    <w:rsid w:val="008D4C7F"/>
    <w:rsid w:val="008E05F8"/>
    <w:rsid w:val="008E3D67"/>
    <w:rsid w:val="008E4E38"/>
    <w:rsid w:val="008F1004"/>
    <w:rsid w:val="00941DC2"/>
    <w:rsid w:val="00943826"/>
    <w:rsid w:val="00961733"/>
    <w:rsid w:val="00996D63"/>
    <w:rsid w:val="009A3849"/>
    <w:rsid w:val="009A6B06"/>
    <w:rsid w:val="009B2167"/>
    <w:rsid w:val="009D1875"/>
    <w:rsid w:val="009E6D4B"/>
    <w:rsid w:val="009F276E"/>
    <w:rsid w:val="00A207BF"/>
    <w:rsid w:val="00A2636C"/>
    <w:rsid w:val="00A32CF1"/>
    <w:rsid w:val="00A64059"/>
    <w:rsid w:val="00A70B19"/>
    <w:rsid w:val="00AC611F"/>
    <w:rsid w:val="00AF225B"/>
    <w:rsid w:val="00AF31C7"/>
    <w:rsid w:val="00B4089D"/>
    <w:rsid w:val="00B728E5"/>
    <w:rsid w:val="00B73467"/>
    <w:rsid w:val="00B83DDE"/>
    <w:rsid w:val="00B915A7"/>
    <w:rsid w:val="00BA54B0"/>
    <w:rsid w:val="00BB7E38"/>
    <w:rsid w:val="00BC0971"/>
    <w:rsid w:val="00BD726D"/>
    <w:rsid w:val="00BF0C4C"/>
    <w:rsid w:val="00C20873"/>
    <w:rsid w:val="00C424C3"/>
    <w:rsid w:val="00C53CEA"/>
    <w:rsid w:val="00CA5A77"/>
    <w:rsid w:val="00CB22C6"/>
    <w:rsid w:val="00CC4649"/>
    <w:rsid w:val="00CE20BC"/>
    <w:rsid w:val="00CF0F46"/>
    <w:rsid w:val="00CF50BE"/>
    <w:rsid w:val="00D31AAE"/>
    <w:rsid w:val="00D80640"/>
    <w:rsid w:val="00DA2683"/>
    <w:rsid w:val="00DE7ECF"/>
    <w:rsid w:val="00DF3DB1"/>
    <w:rsid w:val="00DF548F"/>
    <w:rsid w:val="00E20E7F"/>
    <w:rsid w:val="00E23B9F"/>
    <w:rsid w:val="00E37DC7"/>
    <w:rsid w:val="00E843EA"/>
    <w:rsid w:val="00EE278E"/>
    <w:rsid w:val="00F17FCE"/>
    <w:rsid w:val="00F8706C"/>
    <w:rsid w:val="00FE2384"/>
    <w:rsid w:val="17A11EA0"/>
    <w:rsid w:val="22BB52B6"/>
    <w:rsid w:val="2DE869D2"/>
    <w:rsid w:val="31AA22FE"/>
    <w:rsid w:val="3C55406B"/>
    <w:rsid w:val="567676F4"/>
    <w:rsid w:val="5E6934F3"/>
    <w:rsid w:val="624A51EB"/>
    <w:rsid w:val="626465EC"/>
    <w:rsid w:val="679F7137"/>
    <w:rsid w:val="6F0C6CEC"/>
    <w:rsid w:val="6F8142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rPr>
      <w:kern w:val="0"/>
      <w:sz w:val="20"/>
      <w:szCs w:val="20"/>
    </w:rPr>
  </w:style>
  <w:style w:type="paragraph" w:styleId="3">
    <w:name w:val="Date"/>
    <w:basedOn w:val="1"/>
    <w:next w:val="1"/>
    <w:link w:val="12"/>
    <w:semiHidden/>
    <w:qFormat/>
    <w:uiPriority w:val="99"/>
    <w:pPr>
      <w:ind w:left="100" w:leftChars="2500"/>
    </w:pPr>
    <w:rPr>
      <w:kern w:val="0"/>
      <w:sz w:val="20"/>
      <w:szCs w:val="20"/>
    </w:rPr>
  </w:style>
  <w:style w:type="paragraph" w:styleId="4">
    <w:name w:val="Balloon Text"/>
    <w:basedOn w:val="1"/>
    <w:link w:val="13"/>
    <w:autoRedefine/>
    <w:semiHidden/>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6"/>
    <w:semiHidden/>
    <w:qFormat/>
    <w:uiPriority w:val="99"/>
    <w:rPr>
      <w:b/>
      <w:bCs/>
    </w:rPr>
  </w:style>
  <w:style w:type="character" w:styleId="10">
    <w:name w:val="annotation reference"/>
    <w:autoRedefine/>
    <w:semiHidden/>
    <w:qFormat/>
    <w:uiPriority w:val="99"/>
    <w:rPr>
      <w:rFonts w:cs="Times New Roman"/>
      <w:sz w:val="21"/>
    </w:rPr>
  </w:style>
  <w:style w:type="character" w:customStyle="1" w:styleId="11">
    <w:name w:val="批注文字 Char"/>
    <w:link w:val="2"/>
    <w:semiHidden/>
    <w:qFormat/>
    <w:locked/>
    <w:uiPriority w:val="99"/>
    <w:rPr>
      <w:rFonts w:cs="Times New Roman"/>
    </w:rPr>
  </w:style>
  <w:style w:type="character" w:customStyle="1" w:styleId="12">
    <w:name w:val="日期 Char"/>
    <w:link w:val="3"/>
    <w:semiHidden/>
    <w:qFormat/>
    <w:locked/>
    <w:uiPriority w:val="99"/>
    <w:rPr>
      <w:rFonts w:cs="Times New Roman"/>
    </w:rPr>
  </w:style>
  <w:style w:type="character" w:customStyle="1" w:styleId="13">
    <w:name w:val="批注框文本 Char"/>
    <w:link w:val="4"/>
    <w:autoRedefine/>
    <w:semiHidden/>
    <w:qFormat/>
    <w:locked/>
    <w:uiPriority w:val="99"/>
    <w:rPr>
      <w:rFonts w:cs="Times New Roman"/>
      <w:sz w:val="18"/>
    </w:rPr>
  </w:style>
  <w:style w:type="character" w:customStyle="1" w:styleId="14">
    <w:name w:val="页脚 Char"/>
    <w:link w:val="5"/>
    <w:autoRedefine/>
    <w:qFormat/>
    <w:locked/>
    <w:uiPriority w:val="99"/>
    <w:rPr>
      <w:rFonts w:cs="Times New Roman"/>
      <w:sz w:val="18"/>
    </w:rPr>
  </w:style>
  <w:style w:type="character" w:customStyle="1" w:styleId="15">
    <w:name w:val="页眉 Char"/>
    <w:link w:val="6"/>
    <w:autoRedefine/>
    <w:qFormat/>
    <w:locked/>
    <w:uiPriority w:val="99"/>
    <w:rPr>
      <w:rFonts w:cs="Times New Roman"/>
      <w:sz w:val="18"/>
    </w:rPr>
  </w:style>
  <w:style w:type="character" w:customStyle="1" w:styleId="16">
    <w:name w:val="批注主题 Char"/>
    <w:link w:val="7"/>
    <w:autoRedefine/>
    <w:semiHidden/>
    <w:qFormat/>
    <w:locked/>
    <w:uiPriority w:val="99"/>
    <w:rPr>
      <w:rFonts w:cs="Times New Roman"/>
      <w:b/>
    </w:rPr>
  </w:style>
  <w:style w:type="paragraph" w:styleId="17">
    <w:name w:val="List Paragraph"/>
    <w:basedOn w:val="1"/>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17815-0AB6-4C75-A2B9-65DFA356BDBF}">
  <ds:schemaRefs/>
</ds:datastoreItem>
</file>

<file path=docProps/app.xml><?xml version="1.0" encoding="utf-8"?>
<Properties xmlns="http://schemas.openxmlformats.org/officeDocument/2006/extended-properties" xmlns:vt="http://schemas.openxmlformats.org/officeDocument/2006/docPropsVTypes">
  <Template>Normal.dotm</Template>
  <Company>用户</Company>
  <Pages>3</Pages>
  <Words>214</Words>
  <Characters>1220</Characters>
  <Lines>10</Lines>
  <Paragraphs>2</Paragraphs>
  <TotalTime>8</TotalTime>
  <ScaleCrop>false</ScaleCrop>
  <LinksUpToDate>false</LinksUpToDate>
  <CharactersWithSpaces>1432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2018-03-21T01:50:00Z</dcterms:created>
  <dc:creator>Windows 用户</dc:creator>
  <cp:lastModifiedBy>百草园</cp:lastModifiedBy>
  <cp:lastPrinted>2018-03-21T01:54:00Z</cp:lastPrinted>
  <dcterms:modified xsi:type="dcterms:W3CDTF">2024-04-03T13:26:21Z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2D7647BE90DC4B0DB44A3B798310035F_13</vt:lpwstr>
  </property>
</Properties>
</file>