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 w:hAnsi="仿宋" w:eastAsia="仿宋" w:cs="仿宋"/>
          <w:b/>
          <w:sz w:val="32"/>
          <w:szCs w:val="32"/>
        </w:rPr>
      </w:pPr>
      <w:r>
        <w:rPr>
          <w:rFonts w:hint="eastAsia" w:ascii="仿宋" w:hAnsi="仿宋" w:eastAsia="仿宋" w:cs="仿宋"/>
          <w:b/>
          <w:sz w:val="32"/>
          <w:szCs w:val="32"/>
        </w:rPr>
        <w:t>辽宁大学哲学院</w:t>
      </w:r>
    </w:p>
    <w:p>
      <w:pPr>
        <w:spacing w:line="540" w:lineRule="exact"/>
        <w:jc w:val="center"/>
        <w:rPr>
          <w:rFonts w:ascii="仿宋" w:hAnsi="仿宋" w:eastAsia="仿宋" w:cs="仿宋"/>
          <w:b/>
          <w:sz w:val="32"/>
          <w:szCs w:val="32"/>
        </w:rPr>
      </w:pPr>
      <w:r>
        <w:rPr>
          <w:rFonts w:ascii="仿宋" w:hAnsi="仿宋" w:eastAsia="仿宋" w:cs="仿宋"/>
          <w:b/>
          <w:sz w:val="32"/>
          <w:szCs w:val="32"/>
        </w:rPr>
        <w:t>2022</w:t>
      </w:r>
      <w:r>
        <w:rPr>
          <w:rFonts w:hint="eastAsia" w:ascii="仿宋" w:hAnsi="仿宋" w:eastAsia="仿宋" w:cs="仿宋"/>
          <w:b/>
          <w:sz w:val="32"/>
          <w:szCs w:val="32"/>
        </w:rPr>
        <w:t>年硕士研究生招生调剂工作实施细则</w:t>
      </w:r>
    </w:p>
    <w:p>
      <w:pPr>
        <w:spacing w:line="540" w:lineRule="exact"/>
        <w:rPr>
          <w:rFonts w:ascii="仿宋" w:hAnsi="仿宋" w:eastAsia="仿宋" w:cs="仿宋"/>
          <w:sz w:val="28"/>
        </w:rPr>
      </w:pPr>
    </w:p>
    <w:p>
      <w:pPr>
        <w:spacing w:line="540" w:lineRule="exact"/>
        <w:rPr>
          <w:rFonts w:ascii="仿宋" w:hAnsi="仿宋" w:eastAsia="仿宋" w:cs="仿宋"/>
          <w:sz w:val="28"/>
        </w:rPr>
      </w:pPr>
      <w:r>
        <w:rPr>
          <w:rFonts w:ascii="仿宋" w:hAnsi="仿宋" w:eastAsia="仿宋" w:cs="仿宋"/>
          <w:sz w:val="28"/>
        </w:rPr>
        <w:tab/>
      </w:r>
      <w:r>
        <w:rPr>
          <w:rFonts w:hint="eastAsia" w:ascii="仿宋" w:hAnsi="仿宋" w:eastAsia="仿宋" w:cs="仿宋"/>
          <w:sz w:val="28"/>
        </w:rPr>
        <w:t>为切实做好硕士研究生调剂工作，哲学院研究生招生工作领导小组在学校研究生招生工作领导小组指导下，参照《辽宁大学</w:t>
      </w:r>
      <w:r>
        <w:rPr>
          <w:rFonts w:ascii="仿宋" w:hAnsi="仿宋" w:eastAsia="仿宋" w:cs="仿宋"/>
          <w:sz w:val="28"/>
        </w:rPr>
        <w:t>2022</w:t>
      </w:r>
      <w:r>
        <w:rPr>
          <w:rFonts w:hint="eastAsia" w:ascii="仿宋" w:hAnsi="仿宋" w:eastAsia="仿宋" w:cs="仿宋"/>
          <w:sz w:val="28"/>
        </w:rPr>
        <w:t>年硕士研究生招生调剂工作办法》，制定本细则并组织实施。</w:t>
      </w:r>
    </w:p>
    <w:p>
      <w:pPr>
        <w:spacing w:line="540" w:lineRule="exact"/>
        <w:ind w:firstLine="562"/>
        <w:rPr>
          <w:rFonts w:ascii="黑体" w:hAnsi="黑体" w:eastAsia="黑体" w:cs="仿宋"/>
          <w:sz w:val="28"/>
        </w:rPr>
      </w:pPr>
      <w:r>
        <w:rPr>
          <w:rFonts w:hint="eastAsia" w:ascii="黑体" w:hAnsi="黑体" w:eastAsia="黑体" w:cs="仿宋"/>
          <w:sz w:val="28"/>
        </w:rPr>
        <w:t>一、接收调剂考生的基本条件</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highlight w:val="none"/>
        </w:rPr>
        <w:t>应为全国统考、</w:t>
      </w:r>
      <w:r>
        <w:rPr>
          <w:rFonts w:hint="eastAsia" w:ascii="仿宋" w:hAnsi="仿宋" w:eastAsia="仿宋"/>
          <w:color w:val="222222"/>
          <w:sz w:val="29"/>
          <w:szCs w:val="29"/>
          <w:highlight w:val="none"/>
        </w:rPr>
        <w:t>前置学历为哲学类专业（代码</w:t>
      </w:r>
      <w:r>
        <w:rPr>
          <w:rFonts w:ascii="仿宋" w:hAnsi="仿宋" w:eastAsia="仿宋"/>
          <w:color w:val="222222"/>
          <w:sz w:val="29"/>
          <w:szCs w:val="29"/>
          <w:highlight w:val="none"/>
        </w:rPr>
        <w:t>[0101]</w:t>
      </w:r>
      <w:r>
        <w:rPr>
          <w:rFonts w:hint="eastAsia" w:ascii="仿宋" w:hAnsi="仿宋" w:eastAsia="仿宋"/>
          <w:color w:val="222222"/>
          <w:sz w:val="29"/>
          <w:szCs w:val="29"/>
          <w:highlight w:val="none"/>
        </w:rPr>
        <w:t>）的</w:t>
      </w:r>
      <w:r>
        <w:rPr>
          <w:rFonts w:hint="eastAsia" w:ascii="仿宋" w:hAnsi="仿宋" w:eastAsia="仿宋"/>
          <w:sz w:val="28"/>
          <w:szCs w:val="28"/>
        </w:rPr>
        <w:t>非专项计划考生（报考“退役大学生士兵”专项计划的考生，可申请调剂到普通计划录取）。</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符合调入专业的报考条件。</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初试成绩符合第一志愿报考专业在调入地区（一区）的全国初试成绩基本要求。</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调入专业与第一志愿报考专业相同或相近</w:t>
      </w:r>
      <w:r>
        <w:rPr>
          <w:rFonts w:ascii="仿宋" w:hAnsi="仿宋" w:eastAsia="仿宋"/>
          <w:sz w:val="28"/>
          <w:szCs w:val="28"/>
        </w:rPr>
        <w:t>,</w:t>
      </w:r>
      <w:r>
        <w:rPr>
          <w:rFonts w:hint="eastAsia" w:ascii="仿宋" w:hAnsi="仿宋" w:eastAsia="仿宋"/>
          <w:sz w:val="28"/>
          <w:szCs w:val="28"/>
        </w:rPr>
        <w:t>应在同一学科门类范围内。</w:t>
      </w:r>
    </w:p>
    <w:p>
      <w:pPr>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初试科目与调入专业初试科目相同或相近，其中初试全国统一命题科目应与调入专业全国统一命题科目相同。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对于外国语科目，不接收招生专业目录中未列出语种考生的调剂申请。</w:t>
      </w:r>
    </w:p>
    <w:p>
      <w:pPr>
        <w:spacing w:line="54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调入专业初试科目数量应与第一志愿报考专业初试科目数量一致。</w:t>
      </w:r>
    </w:p>
    <w:p>
      <w:pPr>
        <w:spacing w:line="540" w:lineRule="exact"/>
        <w:ind w:firstLine="560" w:firstLineChars="200"/>
        <w:rPr>
          <w:rFonts w:ascii="黑体" w:hAnsi="黑体" w:eastAsia="黑体" w:cs="仿宋"/>
          <w:sz w:val="28"/>
        </w:rPr>
      </w:pPr>
      <w:r>
        <w:rPr>
          <w:rFonts w:hint="eastAsia" w:ascii="黑体" w:hAnsi="黑体" w:eastAsia="黑体" w:cs="仿宋"/>
          <w:sz w:val="28"/>
        </w:rPr>
        <w:t>二、遴选原则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坚持“按需招生、全面衡量、择优录取”的原则，严格按照《</w:t>
      </w:r>
      <w:r>
        <w:rPr>
          <w:rFonts w:ascii="仿宋" w:hAnsi="仿宋" w:eastAsia="仿宋"/>
          <w:sz w:val="28"/>
          <w:szCs w:val="28"/>
        </w:rPr>
        <w:t>2022</w:t>
      </w:r>
      <w:r>
        <w:rPr>
          <w:rFonts w:hint="eastAsia" w:ascii="仿宋" w:hAnsi="仿宋" w:eastAsia="仿宋"/>
          <w:sz w:val="28"/>
          <w:szCs w:val="28"/>
        </w:rPr>
        <w:t>年全国硕士研究生招生工作管理规定》确定的考生调剂基本条件和要求，开展调剂生源遴选工作。对申请同一招生单位同一专业、初试科目完全相同的调剂考生，培养单位按考生初试成绩择优遴选进入复试的考生。</w:t>
      </w:r>
    </w:p>
    <w:p>
      <w:pPr>
        <w:spacing w:line="540" w:lineRule="exact"/>
        <w:ind w:firstLine="562"/>
        <w:rPr>
          <w:rFonts w:ascii="黑体" w:hAnsi="黑体" w:eastAsia="黑体" w:cs="仿宋"/>
          <w:sz w:val="28"/>
        </w:rPr>
      </w:pPr>
      <w:r>
        <w:rPr>
          <w:rFonts w:hint="eastAsia" w:ascii="黑体" w:hAnsi="黑体" w:eastAsia="黑体" w:cs="仿宋"/>
          <w:sz w:val="28"/>
        </w:rPr>
        <w:t>三、接收调剂专业及时间</w:t>
      </w:r>
    </w:p>
    <w:p>
      <w:pPr>
        <w:spacing w:line="540" w:lineRule="exact"/>
        <w:ind w:firstLine="560" w:firstLineChars="200"/>
        <w:rPr>
          <w:rFonts w:ascii="仿宋" w:hAnsi="仿宋" w:eastAsia="仿宋" w:cs="仿宋"/>
          <w:sz w:val="28"/>
        </w:rPr>
      </w:pPr>
      <w:r>
        <w:rPr>
          <w:rFonts w:hint="eastAsia" w:ascii="仿宋" w:hAnsi="仿宋" w:eastAsia="仿宋" w:cs="仿宋"/>
          <w:sz w:val="28"/>
        </w:rPr>
        <w:t>接收调剂专业：外国哲学</w:t>
      </w:r>
      <w:r>
        <w:rPr>
          <w:rFonts w:ascii="仿宋" w:hAnsi="仿宋" w:eastAsia="仿宋" w:cs="仿宋"/>
          <w:sz w:val="28"/>
        </w:rPr>
        <w:t>[010103]</w:t>
      </w:r>
      <w:r>
        <w:rPr>
          <w:rFonts w:hint="eastAsia" w:ascii="仿宋" w:hAnsi="仿宋" w:eastAsia="仿宋" w:cs="仿宋"/>
          <w:sz w:val="28"/>
        </w:rPr>
        <w:t>、伦理学</w:t>
      </w:r>
      <w:r>
        <w:rPr>
          <w:rFonts w:ascii="仿宋" w:hAnsi="仿宋" w:eastAsia="仿宋" w:cs="仿宋"/>
          <w:sz w:val="28"/>
        </w:rPr>
        <w:t>[010105]</w:t>
      </w:r>
    </w:p>
    <w:p>
      <w:pPr>
        <w:spacing w:line="540" w:lineRule="exact"/>
        <w:ind w:firstLine="560" w:firstLineChars="200"/>
        <w:rPr>
          <w:rFonts w:ascii="仿宋" w:hAnsi="仿宋" w:eastAsia="仿宋" w:cs="仿宋"/>
          <w:sz w:val="28"/>
        </w:rPr>
      </w:pPr>
      <w:r>
        <w:rPr>
          <w:rFonts w:hint="eastAsia" w:ascii="仿宋" w:hAnsi="仿宋" w:eastAsia="仿宋" w:cs="仿宋"/>
          <w:sz w:val="28"/>
        </w:rPr>
        <w:t>我单位定于</w:t>
      </w:r>
      <w:r>
        <w:rPr>
          <w:rFonts w:ascii="仿宋" w:hAnsi="仿宋" w:eastAsia="仿宋" w:cs="仿宋"/>
          <w:sz w:val="28"/>
        </w:rPr>
        <w:t>2022</w:t>
      </w:r>
      <w:r>
        <w:rPr>
          <w:rFonts w:hint="eastAsia" w:ascii="仿宋" w:hAnsi="仿宋" w:eastAsia="仿宋" w:cs="仿宋"/>
          <w:sz w:val="28"/>
        </w:rPr>
        <w:t>年</w:t>
      </w:r>
      <w:r>
        <w:rPr>
          <w:rFonts w:ascii="仿宋" w:hAnsi="仿宋" w:eastAsia="仿宋" w:cs="仿宋"/>
          <w:sz w:val="28"/>
        </w:rPr>
        <w:t>4</w:t>
      </w:r>
      <w:r>
        <w:rPr>
          <w:rFonts w:hint="eastAsia" w:ascii="仿宋" w:hAnsi="仿宋" w:eastAsia="仿宋" w:cs="仿宋"/>
          <w:sz w:val="28"/>
        </w:rPr>
        <w:t>月</w:t>
      </w:r>
      <w:r>
        <w:rPr>
          <w:rFonts w:ascii="仿宋" w:hAnsi="仿宋" w:eastAsia="仿宋" w:cs="仿宋"/>
          <w:sz w:val="28"/>
        </w:rPr>
        <w:t>6</w:t>
      </w:r>
      <w:r>
        <w:rPr>
          <w:rFonts w:hint="eastAsia" w:ascii="仿宋" w:hAnsi="仿宋" w:eastAsia="仿宋" w:cs="仿宋"/>
          <w:sz w:val="28"/>
        </w:rPr>
        <w:t>日</w:t>
      </w:r>
      <w:r>
        <w:rPr>
          <w:rFonts w:ascii="仿宋" w:hAnsi="仿宋" w:eastAsia="仿宋" w:cs="仿宋"/>
          <w:sz w:val="28"/>
        </w:rPr>
        <w:t>0:00</w:t>
      </w:r>
      <w:r>
        <w:rPr>
          <w:rFonts w:hint="eastAsia" w:ascii="仿宋" w:hAnsi="仿宋" w:eastAsia="仿宋" w:cs="仿宋"/>
          <w:sz w:val="28"/>
        </w:rPr>
        <w:t>至</w:t>
      </w:r>
      <w:r>
        <w:rPr>
          <w:rFonts w:ascii="仿宋" w:hAnsi="仿宋" w:eastAsia="仿宋" w:cs="仿宋"/>
          <w:sz w:val="28"/>
        </w:rPr>
        <w:t>12:00</w:t>
      </w:r>
      <w:r>
        <w:rPr>
          <w:rFonts w:hint="eastAsia" w:ascii="仿宋" w:hAnsi="仿宋" w:eastAsia="仿宋" w:cs="仿宋"/>
          <w:sz w:val="28"/>
        </w:rPr>
        <w:t>之间在“全国硕士生招生调剂服务系统”上首次发布调剂信息。</w:t>
      </w:r>
      <w:r>
        <w:rPr>
          <w:rFonts w:ascii="仿宋" w:hAnsi="仿宋" w:eastAsia="仿宋" w:cs="仿宋"/>
          <w:sz w:val="28"/>
        </w:rPr>
        <w:t xml:space="preserve"> </w:t>
      </w:r>
    </w:p>
    <w:p>
      <w:pPr>
        <w:spacing w:line="540" w:lineRule="exact"/>
        <w:ind w:firstLine="562"/>
        <w:rPr>
          <w:rFonts w:ascii="黑体" w:hAnsi="黑体" w:eastAsia="黑体" w:cs="仿宋"/>
          <w:sz w:val="28"/>
        </w:rPr>
      </w:pPr>
      <w:r>
        <w:rPr>
          <w:rFonts w:hint="eastAsia" w:ascii="黑体" w:hAnsi="黑体" w:eastAsia="黑体" w:cs="仿宋"/>
          <w:sz w:val="28"/>
        </w:rPr>
        <w:t>四、调剂工作程序及要求</w:t>
      </w:r>
    </w:p>
    <w:p>
      <w:pPr>
        <w:spacing w:line="540" w:lineRule="exact"/>
        <w:ind w:firstLine="562"/>
        <w:rPr>
          <w:rFonts w:ascii="仿宋" w:hAnsi="仿宋" w:eastAsia="仿宋"/>
          <w:sz w:val="28"/>
          <w:szCs w:val="28"/>
        </w:rPr>
      </w:pPr>
      <w:r>
        <w:rPr>
          <w:rFonts w:ascii="仿宋" w:hAnsi="仿宋" w:eastAsia="仿宋" w:cs="仿宋"/>
          <w:sz w:val="28"/>
        </w:rPr>
        <w:t>1.</w:t>
      </w:r>
      <w:r>
        <w:rPr>
          <w:rFonts w:hint="eastAsia" w:ascii="仿宋" w:hAnsi="仿宋" w:eastAsia="仿宋" w:cs="仿宋"/>
          <w:sz w:val="28"/>
        </w:rPr>
        <w:t>本单位</w:t>
      </w:r>
      <w:r>
        <w:rPr>
          <w:rFonts w:hint="eastAsia" w:ascii="仿宋" w:hAnsi="仿宋" w:eastAsia="仿宋"/>
          <w:sz w:val="28"/>
          <w:szCs w:val="28"/>
        </w:rPr>
        <w:t>接收所有调剂考生均通过“全国硕士研究生招生调剂服务系统”进行。接到复试通知的考生须在指定时间内回复确认，并按时参加复试。</w:t>
      </w:r>
    </w:p>
    <w:p>
      <w:pPr>
        <w:spacing w:line="540" w:lineRule="exact"/>
        <w:ind w:firstLine="56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调剂考生须在复试考核开始前完成资格审查的材料提交与审核。调剂考生复试内容要求与一志愿考生复试内容要求一致。详情见《辽宁大学</w:t>
      </w:r>
      <w:r>
        <w:rPr>
          <w:rFonts w:ascii="仿宋" w:hAnsi="仿宋" w:eastAsia="仿宋"/>
          <w:sz w:val="28"/>
          <w:szCs w:val="28"/>
        </w:rPr>
        <w:t>2022</w:t>
      </w:r>
      <w:r>
        <w:rPr>
          <w:rFonts w:hint="eastAsia" w:ascii="仿宋" w:hAnsi="仿宋" w:eastAsia="仿宋"/>
          <w:sz w:val="28"/>
          <w:szCs w:val="28"/>
        </w:rPr>
        <w:t>年硕士研究生招生复试录取工作办法》和《辽宁大学哲学院</w:t>
      </w:r>
      <w:r>
        <w:rPr>
          <w:rFonts w:ascii="仿宋" w:hAnsi="仿宋" w:eastAsia="仿宋"/>
          <w:sz w:val="28"/>
          <w:szCs w:val="28"/>
        </w:rPr>
        <w:t>2022</w:t>
      </w:r>
      <w:r>
        <w:rPr>
          <w:rFonts w:hint="eastAsia" w:ascii="仿宋" w:hAnsi="仿宋" w:eastAsia="仿宋"/>
          <w:sz w:val="28"/>
          <w:szCs w:val="28"/>
        </w:rPr>
        <w:t>年硕士研究生招生复试工作实施细则》。</w:t>
      </w:r>
    </w:p>
    <w:p>
      <w:pPr>
        <w:spacing w:line="540" w:lineRule="exact"/>
        <w:ind w:firstLine="562"/>
        <w:rPr>
          <w:rFonts w:ascii="仿宋" w:hAnsi="仿宋" w:eastAsia="仿宋" w:cs="仿宋"/>
          <w:bCs/>
          <w:sz w:val="28"/>
        </w:rPr>
      </w:pPr>
      <w:r>
        <w:rPr>
          <w:rFonts w:ascii="仿宋" w:hAnsi="仿宋" w:eastAsia="仿宋"/>
          <w:sz w:val="28"/>
          <w:szCs w:val="28"/>
        </w:rPr>
        <w:t>3</w:t>
      </w:r>
      <w:r>
        <w:rPr>
          <w:rFonts w:ascii="仿宋" w:hAnsi="仿宋" w:eastAsia="仿宋"/>
          <w:sz w:val="28"/>
          <w:szCs w:val="28"/>
          <w:highlight w:val="none"/>
        </w:rPr>
        <w:t>.</w:t>
      </w:r>
      <w:r>
        <w:rPr>
          <w:rFonts w:hint="eastAsia" w:ascii="仿宋" w:hAnsi="仿宋" w:eastAsia="仿宋" w:cs="仿宋"/>
          <w:sz w:val="28"/>
          <w:highlight w:val="none"/>
        </w:rPr>
        <w:t>调剂考生一般采取等额复试</w:t>
      </w:r>
      <w:r>
        <w:rPr>
          <w:rFonts w:hint="eastAsia" w:ascii="仿宋" w:hAnsi="仿宋" w:eastAsia="仿宋" w:cs="仿宋"/>
          <w:bCs/>
          <w:sz w:val="28"/>
          <w:highlight w:val="none"/>
        </w:rPr>
        <w:t>。</w:t>
      </w:r>
    </w:p>
    <w:p>
      <w:pPr>
        <w:spacing w:line="540" w:lineRule="exact"/>
        <w:ind w:firstLine="562"/>
        <w:rPr>
          <w:rFonts w:ascii="黑体" w:hAnsi="黑体" w:eastAsia="黑体" w:cs="仿宋"/>
          <w:sz w:val="28"/>
        </w:rPr>
      </w:pPr>
      <w:r>
        <w:rPr>
          <w:rFonts w:hint="eastAsia" w:ascii="黑体" w:hAnsi="黑体" w:eastAsia="黑体" w:cs="仿宋"/>
          <w:sz w:val="28"/>
        </w:rPr>
        <w:t>五、调剂录取工作</w:t>
      </w:r>
    </w:p>
    <w:p>
      <w:pPr>
        <w:spacing w:line="540" w:lineRule="exact"/>
        <w:ind w:firstLine="562"/>
        <w:rPr>
          <w:rFonts w:ascii="仿宋" w:hAnsi="仿宋" w:eastAsia="仿宋" w:cs="仿宋"/>
          <w:sz w:val="28"/>
          <w:highlight w:val="none"/>
        </w:rPr>
      </w:pPr>
      <w:r>
        <w:rPr>
          <w:rFonts w:hint="eastAsia" w:ascii="仿宋" w:hAnsi="仿宋" w:eastAsia="仿宋" w:cs="仿宋"/>
          <w:sz w:val="28"/>
        </w:rPr>
        <w:t>调剂考生的录取工作按照</w:t>
      </w:r>
      <w:r>
        <w:rPr>
          <w:rFonts w:hint="eastAsia" w:ascii="仿宋" w:hAnsi="仿宋" w:eastAsia="仿宋"/>
          <w:sz w:val="28"/>
          <w:szCs w:val="28"/>
          <w:highlight w:val="none"/>
        </w:rPr>
        <w:t>《</w:t>
      </w:r>
      <w:r>
        <w:rPr>
          <w:rFonts w:hint="eastAsia" w:ascii="仿宋" w:hAnsi="仿宋" w:eastAsia="仿宋"/>
          <w:sz w:val="28"/>
          <w:szCs w:val="28"/>
          <w:highlight w:val="none"/>
        </w:rPr>
        <w:t>辽宁大学哲学院</w:t>
      </w:r>
      <w:r>
        <w:rPr>
          <w:rFonts w:ascii="仿宋" w:hAnsi="仿宋" w:eastAsia="仿宋"/>
          <w:sz w:val="28"/>
          <w:szCs w:val="28"/>
          <w:highlight w:val="none"/>
        </w:rPr>
        <w:t>2022</w:t>
      </w:r>
      <w:r>
        <w:rPr>
          <w:rFonts w:hint="eastAsia" w:ascii="仿宋" w:hAnsi="仿宋" w:eastAsia="仿宋"/>
          <w:sz w:val="28"/>
          <w:szCs w:val="28"/>
          <w:highlight w:val="none"/>
        </w:rPr>
        <w:t>年硕士研究生招生复试工作实施细则》</w:t>
      </w:r>
      <w:r>
        <w:rPr>
          <w:rFonts w:hint="eastAsia" w:ascii="仿宋" w:hAnsi="仿宋" w:eastAsia="仿宋" w:cs="仿宋"/>
          <w:sz w:val="28"/>
          <w:highlight w:val="none"/>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学校研究生招生工作领导小组审核调剂拟录取考生名单后报省级教育招生考试机构审定。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调剂拟录取名单由研究生院进行公示，公示期为</w:t>
      </w:r>
      <w:r>
        <w:rPr>
          <w:rFonts w:ascii="仿宋" w:hAnsi="仿宋" w:eastAsia="仿宋"/>
          <w:sz w:val="28"/>
          <w:szCs w:val="28"/>
        </w:rPr>
        <w:t>10</w:t>
      </w:r>
      <w:r>
        <w:rPr>
          <w:rFonts w:hint="eastAsia" w:ascii="仿宋" w:hAnsi="仿宋" w:eastAsia="仿宋"/>
          <w:sz w:val="28"/>
          <w:szCs w:val="28"/>
        </w:rPr>
        <w:t>个工作日。</w:t>
      </w:r>
    </w:p>
    <w:p>
      <w:pPr>
        <w:spacing w:line="540" w:lineRule="exact"/>
        <w:ind w:firstLine="562"/>
        <w:rPr>
          <w:rFonts w:ascii="黑体" w:hAnsi="黑体" w:eastAsia="黑体" w:cs="仿宋"/>
          <w:sz w:val="28"/>
        </w:rPr>
      </w:pPr>
      <w:r>
        <w:rPr>
          <w:rFonts w:hint="eastAsia" w:ascii="黑体" w:hAnsi="黑体" w:eastAsia="黑体" w:cs="仿宋"/>
          <w:sz w:val="28"/>
        </w:rPr>
        <w:t>六、调剂工作的监督</w:t>
      </w:r>
    </w:p>
    <w:p>
      <w:pPr>
        <w:spacing w:line="540" w:lineRule="exact"/>
        <w:ind w:firstLine="560"/>
        <w:rPr>
          <w:rFonts w:ascii="仿宋" w:hAnsi="仿宋" w:eastAsia="仿宋" w:cs="仿宋"/>
          <w:sz w:val="28"/>
        </w:rPr>
      </w:pPr>
      <w:r>
        <w:rPr>
          <w:rFonts w:hint="eastAsia" w:ascii="仿宋" w:hAnsi="仿宋" w:eastAsia="仿宋" w:cs="仿宋"/>
          <w:sz w:val="28"/>
        </w:rPr>
        <w:t>哲学院（部、所）研究生招生工作领导小组对本单位调剂、复试过程和复试结果进行指导与审查，严肃处理违纪违规事件。</w:t>
      </w:r>
    </w:p>
    <w:p>
      <w:pPr>
        <w:spacing w:line="540" w:lineRule="exact"/>
        <w:ind w:firstLine="560"/>
        <w:rPr>
          <w:rFonts w:hint="eastAsia" w:ascii="仿宋" w:hAnsi="仿宋" w:eastAsia="仿宋" w:cs="仿宋"/>
          <w:sz w:val="28"/>
          <w:highlight w:val="none"/>
          <w:lang w:eastAsia="zh-CN"/>
        </w:rPr>
      </w:pPr>
      <w:r>
        <w:rPr>
          <w:rFonts w:hint="eastAsia" w:ascii="仿宋" w:hAnsi="仿宋" w:eastAsia="仿宋" w:cs="仿宋"/>
          <w:sz w:val="28"/>
          <w:highlight w:val="none"/>
        </w:rPr>
        <w:t>按属地疫情防控部门要求，现阶段学校实施封闭管理</w:t>
      </w:r>
      <w:r>
        <w:rPr>
          <w:rFonts w:hint="eastAsia" w:ascii="仿宋" w:hAnsi="仿宋" w:eastAsia="仿宋" w:cs="仿宋"/>
          <w:sz w:val="28"/>
          <w:highlight w:val="none"/>
          <w:lang w:eastAsia="zh-CN"/>
        </w:rPr>
        <w:t>。</w:t>
      </w:r>
      <w:bookmarkStart w:id="0" w:name="_GoBack"/>
      <w:bookmarkEnd w:id="0"/>
    </w:p>
    <w:p>
      <w:pPr>
        <w:spacing w:line="540" w:lineRule="exact"/>
        <w:ind w:firstLine="560" w:firstLineChars="200"/>
        <w:rPr>
          <w:rFonts w:ascii="仿宋" w:hAnsi="仿宋" w:eastAsia="仿宋" w:cs="仿宋"/>
          <w:sz w:val="28"/>
        </w:rPr>
      </w:pPr>
      <w:r>
        <w:rPr>
          <w:rFonts w:hint="eastAsia" w:ascii="仿宋" w:hAnsi="仿宋" w:eastAsia="仿宋" w:cs="仿宋"/>
          <w:sz w:val="28"/>
        </w:rPr>
        <w:t>辽宁大学哲学院研究生招生咨询电话：</w:t>
      </w:r>
      <w:r>
        <w:rPr>
          <w:rFonts w:ascii="仿宋" w:hAnsi="仿宋" w:eastAsia="仿宋" w:cs="仿宋"/>
          <w:sz w:val="28"/>
        </w:rPr>
        <w:t>18540026789</w:t>
      </w:r>
      <w:r>
        <w:rPr>
          <w:rFonts w:hint="eastAsia" w:ascii="仿宋" w:hAnsi="仿宋" w:eastAsia="仿宋" w:cs="仿宋"/>
          <w:sz w:val="28"/>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本实施细则由哲学院负责解释，如同国家、辽宁省有关政策规定存在冲突，按国家、辽宁省关政策规定执行。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辽宁大学哲学院</w:t>
      </w:r>
    </w:p>
    <w:p>
      <w:pPr>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二○二二年四月</w:t>
      </w:r>
    </w:p>
    <w:p>
      <w:pPr>
        <w:spacing w:line="54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420"/>
    <w:rsid w:val="000421DE"/>
    <w:rsid w:val="00050C75"/>
    <w:rsid w:val="00060831"/>
    <w:rsid w:val="00066EAA"/>
    <w:rsid w:val="00080EC1"/>
    <w:rsid w:val="00091CB6"/>
    <w:rsid w:val="00092AB5"/>
    <w:rsid w:val="000A2D0F"/>
    <w:rsid w:val="000C47F1"/>
    <w:rsid w:val="000F5BB2"/>
    <w:rsid w:val="0013181F"/>
    <w:rsid w:val="001A0224"/>
    <w:rsid w:val="001A27EF"/>
    <w:rsid w:val="001A6D47"/>
    <w:rsid w:val="001B581B"/>
    <w:rsid w:val="001B68DC"/>
    <w:rsid w:val="001C1298"/>
    <w:rsid w:val="00215AF3"/>
    <w:rsid w:val="00215E80"/>
    <w:rsid w:val="00224181"/>
    <w:rsid w:val="002253AF"/>
    <w:rsid w:val="00226740"/>
    <w:rsid w:val="0024779D"/>
    <w:rsid w:val="0027787B"/>
    <w:rsid w:val="002B51BB"/>
    <w:rsid w:val="002E6772"/>
    <w:rsid w:val="002E7020"/>
    <w:rsid w:val="00350988"/>
    <w:rsid w:val="00356BC1"/>
    <w:rsid w:val="003869BD"/>
    <w:rsid w:val="003A4BC0"/>
    <w:rsid w:val="003B37E4"/>
    <w:rsid w:val="003C70BD"/>
    <w:rsid w:val="00401E9C"/>
    <w:rsid w:val="0040465D"/>
    <w:rsid w:val="0040648D"/>
    <w:rsid w:val="004125FE"/>
    <w:rsid w:val="00442A76"/>
    <w:rsid w:val="0046676D"/>
    <w:rsid w:val="00490C24"/>
    <w:rsid w:val="00496902"/>
    <w:rsid w:val="004A353F"/>
    <w:rsid w:val="004A7987"/>
    <w:rsid w:val="004B4381"/>
    <w:rsid w:val="004C561E"/>
    <w:rsid w:val="004E78C3"/>
    <w:rsid w:val="004F7012"/>
    <w:rsid w:val="00523815"/>
    <w:rsid w:val="005246DF"/>
    <w:rsid w:val="005328C5"/>
    <w:rsid w:val="00546220"/>
    <w:rsid w:val="0056594D"/>
    <w:rsid w:val="00574BF2"/>
    <w:rsid w:val="005911EB"/>
    <w:rsid w:val="005B1733"/>
    <w:rsid w:val="005B6782"/>
    <w:rsid w:val="005C243A"/>
    <w:rsid w:val="005F2420"/>
    <w:rsid w:val="00615222"/>
    <w:rsid w:val="00617A52"/>
    <w:rsid w:val="00631286"/>
    <w:rsid w:val="00634732"/>
    <w:rsid w:val="006459E1"/>
    <w:rsid w:val="00654949"/>
    <w:rsid w:val="00666755"/>
    <w:rsid w:val="006D203E"/>
    <w:rsid w:val="006D6A49"/>
    <w:rsid w:val="006E2C57"/>
    <w:rsid w:val="00712847"/>
    <w:rsid w:val="00754659"/>
    <w:rsid w:val="00777C89"/>
    <w:rsid w:val="007F1F03"/>
    <w:rsid w:val="00807F67"/>
    <w:rsid w:val="008445CB"/>
    <w:rsid w:val="00853852"/>
    <w:rsid w:val="00864011"/>
    <w:rsid w:val="0087562C"/>
    <w:rsid w:val="0088719C"/>
    <w:rsid w:val="008879B0"/>
    <w:rsid w:val="00893FD9"/>
    <w:rsid w:val="008A3DB8"/>
    <w:rsid w:val="008A468E"/>
    <w:rsid w:val="008B6FFC"/>
    <w:rsid w:val="008C4C82"/>
    <w:rsid w:val="008D42BA"/>
    <w:rsid w:val="008D4C7F"/>
    <w:rsid w:val="008D7E71"/>
    <w:rsid w:val="008E05F8"/>
    <w:rsid w:val="008E3D67"/>
    <w:rsid w:val="008E4E38"/>
    <w:rsid w:val="008F1004"/>
    <w:rsid w:val="00941DC2"/>
    <w:rsid w:val="00943826"/>
    <w:rsid w:val="00961733"/>
    <w:rsid w:val="00996D63"/>
    <w:rsid w:val="009A3849"/>
    <w:rsid w:val="009A6B06"/>
    <w:rsid w:val="009B2167"/>
    <w:rsid w:val="009B519F"/>
    <w:rsid w:val="009D1875"/>
    <w:rsid w:val="009D7FC6"/>
    <w:rsid w:val="009E6D4B"/>
    <w:rsid w:val="009F276E"/>
    <w:rsid w:val="00A207BF"/>
    <w:rsid w:val="00A2636C"/>
    <w:rsid w:val="00A32CF1"/>
    <w:rsid w:val="00A64059"/>
    <w:rsid w:val="00A70B19"/>
    <w:rsid w:val="00AF225B"/>
    <w:rsid w:val="00AF31C7"/>
    <w:rsid w:val="00B728E5"/>
    <w:rsid w:val="00B73467"/>
    <w:rsid w:val="00B83DDE"/>
    <w:rsid w:val="00B915A7"/>
    <w:rsid w:val="00BA54B0"/>
    <w:rsid w:val="00BB7E38"/>
    <w:rsid w:val="00BC0971"/>
    <w:rsid w:val="00BD726D"/>
    <w:rsid w:val="00C20873"/>
    <w:rsid w:val="00C424C3"/>
    <w:rsid w:val="00C53CEA"/>
    <w:rsid w:val="00CC4649"/>
    <w:rsid w:val="00CE20BC"/>
    <w:rsid w:val="00CF0F46"/>
    <w:rsid w:val="00CF50BE"/>
    <w:rsid w:val="00D31AAE"/>
    <w:rsid w:val="00D80640"/>
    <w:rsid w:val="00DA2683"/>
    <w:rsid w:val="00DE7ECF"/>
    <w:rsid w:val="00DF3DB1"/>
    <w:rsid w:val="00E20E7F"/>
    <w:rsid w:val="00E23B9F"/>
    <w:rsid w:val="00E75005"/>
    <w:rsid w:val="00E843EA"/>
    <w:rsid w:val="00EE278E"/>
    <w:rsid w:val="00F17FCE"/>
    <w:rsid w:val="00FE2384"/>
    <w:rsid w:val="010074E0"/>
    <w:rsid w:val="030F3109"/>
    <w:rsid w:val="2E085778"/>
    <w:rsid w:val="31AA22FE"/>
    <w:rsid w:val="3D9D0C70"/>
    <w:rsid w:val="49CB7A48"/>
    <w:rsid w:val="4BDF40F8"/>
    <w:rsid w:val="79E217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iPriority w:val="99"/>
    <w:pPr>
      <w:jc w:val="left"/>
    </w:pPr>
    <w:rPr>
      <w:kern w:val="0"/>
      <w:sz w:val="20"/>
      <w:szCs w:val="20"/>
    </w:rPr>
  </w:style>
  <w:style w:type="paragraph" w:styleId="3">
    <w:name w:val="Date"/>
    <w:basedOn w:val="1"/>
    <w:next w:val="1"/>
    <w:link w:val="12"/>
    <w:semiHidden/>
    <w:qFormat/>
    <w:uiPriority w:val="99"/>
    <w:pPr>
      <w:ind w:left="100" w:leftChars="2500"/>
    </w:pPr>
    <w:rPr>
      <w:kern w:val="0"/>
      <w:sz w:val="20"/>
      <w:szCs w:val="20"/>
    </w:rPr>
  </w:style>
  <w:style w:type="paragraph" w:styleId="4">
    <w:name w:val="Balloon Text"/>
    <w:basedOn w:val="1"/>
    <w:link w:val="13"/>
    <w:semiHidden/>
    <w:qFormat/>
    <w:uiPriority w:val="99"/>
    <w:rPr>
      <w:kern w:val="0"/>
      <w:sz w:val="18"/>
      <w:szCs w:val="18"/>
    </w:rPr>
  </w:style>
  <w:style w:type="paragraph" w:styleId="5">
    <w:name w:val="footer"/>
    <w:basedOn w:val="1"/>
    <w:link w:val="14"/>
    <w:uiPriority w:val="99"/>
    <w:pPr>
      <w:tabs>
        <w:tab w:val="center" w:pos="4153"/>
        <w:tab w:val="right" w:pos="8306"/>
      </w:tabs>
      <w:snapToGrid w:val="0"/>
      <w:jc w:val="left"/>
    </w:pPr>
    <w:rPr>
      <w:kern w:val="0"/>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6"/>
    <w:semiHidden/>
    <w:qFormat/>
    <w:uiPriority w:val="99"/>
    <w:rPr>
      <w:b/>
      <w:bCs/>
    </w:rPr>
  </w:style>
  <w:style w:type="character" w:styleId="10">
    <w:name w:val="annotation reference"/>
    <w:basedOn w:val="9"/>
    <w:semiHidden/>
    <w:qFormat/>
    <w:uiPriority w:val="99"/>
    <w:rPr>
      <w:rFonts w:cs="Times New Roman"/>
      <w:sz w:val="21"/>
    </w:rPr>
  </w:style>
  <w:style w:type="character" w:customStyle="1" w:styleId="11">
    <w:name w:val="Comment Text Char"/>
    <w:basedOn w:val="9"/>
    <w:link w:val="2"/>
    <w:semiHidden/>
    <w:locked/>
    <w:uiPriority w:val="99"/>
    <w:rPr>
      <w:rFonts w:cs="Times New Roman"/>
    </w:rPr>
  </w:style>
  <w:style w:type="character" w:customStyle="1" w:styleId="12">
    <w:name w:val="Date Char"/>
    <w:basedOn w:val="9"/>
    <w:link w:val="3"/>
    <w:semiHidden/>
    <w:qFormat/>
    <w:locked/>
    <w:uiPriority w:val="99"/>
    <w:rPr>
      <w:rFonts w:cs="Times New Roman"/>
    </w:rPr>
  </w:style>
  <w:style w:type="character" w:customStyle="1" w:styleId="13">
    <w:name w:val="Balloon Text Char"/>
    <w:basedOn w:val="9"/>
    <w:link w:val="4"/>
    <w:semiHidden/>
    <w:locked/>
    <w:uiPriority w:val="99"/>
    <w:rPr>
      <w:rFonts w:cs="Times New Roman"/>
      <w:sz w:val="18"/>
    </w:rPr>
  </w:style>
  <w:style w:type="character" w:customStyle="1" w:styleId="14">
    <w:name w:val="Footer Char"/>
    <w:basedOn w:val="9"/>
    <w:link w:val="5"/>
    <w:qFormat/>
    <w:locked/>
    <w:uiPriority w:val="99"/>
    <w:rPr>
      <w:rFonts w:cs="Times New Roman"/>
      <w:sz w:val="18"/>
    </w:rPr>
  </w:style>
  <w:style w:type="character" w:customStyle="1" w:styleId="15">
    <w:name w:val="Header Char"/>
    <w:basedOn w:val="9"/>
    <w:link w:val="6"/>
    <w:qFormat/>
    <w:locked/>
    <w:uiPriority w:val="99"/>
    <w:rPr>
      <w:rFonts w:cs="Times New Roman"/>
      <w:sz w:val="18"/>
    </w:rPr>
  </w:style>
  <w:style w:type="character" w:customStyle="1" w:styleId="16">
    <w:name w:val="Comment Subject Char"/>
    <w:basedOn w:val="11"/>
    <w:link w:val="7"/>
    <w:semiHidden/>
    <w:locked/>
    <w:uiPriority w:val="99"/>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用户</Company>
  <Pages>3</Pages>
  <Words>1079</Words>
  <Characters>1150</Characters>
  <Lines>0</Lines>
  <Paragraphs>0</Paragraphs>
  <TotalTime>53</TotalTime>
  <ScaleCrop>false</ScaleCrop>
  <LinksUpToDate>false</LinksUpToDate>
  <CharactersWithSpaces>1169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2018-03-21T01:50:00Z</dcterms:created>
  <dc:creator>Windows 用户</dc:creator>
  <cp:lastModifiedBy>百草园</cp:lastModifiedBy>
  <cp:lastPrinted>2018-03-21T01:54:00Z</cp:lastPrinted>
  <dcterms:modified xsi:type="dcterms:W3CDTF">2022-04-02T07:39:51Z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ED281934647048EA8643CE1F58C408A1</vt:lpwstr>
  </property>
</Properties>
</file>